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20C" w:rsidRPr="000953ED" w:rsidRDefault="000953ED">
      <w:pPr>
        <w:rPr>
          <w:sz w:val="28"/>
          <w:szCs w:val="28"/>
        </w:rPr>
      </w:pPr>
      <w:bookmarkStart w:id="0" w:name="_GoBack"/>
      <w:r w:rsidRPr="000953ED">
        <w:rPr>
          <w:rFonts w:ascii="Arial" w:hAnsi="Arial" w:cs="Arial"/>
          <w:color w:val="000000"/>
          <w:sz w:val="28"/>
          <w:szCs w:val="28"/>
        </w:rPr>
        <w:t>Нормативная правовая документация Атрачинского сельского поселения опубликовывается в печатном издании "Бюллетень органов местного самоуправления Атрачинского сельского поселения Тюкалинского муниципального района Омской области"</w:t>
      </w:r>
      <w:bookmarkEnd w:id="0"/>
    </w:p>
    <w:sectPr w:rsidR="00C8520C" w:rsidRPr="00095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863"/>
    <w:rsid w:val="000953ED"/>
    <w:rsid w:val="00242863"/>
    <w:rsid w:val="00C8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3A8D-3E57-447B-A37D-63322BDED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2020-01-30T10:45:00Z</dcterms:created>
  <dcterms:modified xsi:type="dcterms:W3CDTF">2020-01-30T10:45:00Z</dcterms:modified>
</cp:coreProperties>
</file>